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1055</w:t>
              <w:br/>
              <w:t xml:space="preserve">"Об утверждении федерального государственного образовательного стандарта высшего образования по специальности 31.08.13 Детская кардиология (уровень подготовки кадров высшей квалификации)"</w:t>
              <w:br/>
              <w:t xml:space="preserve">(Зарегистрировано в Минюсте России 23.10.2014 N 34405)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октября 2014 г. N 34405</w:t>
      </w:r>
    </w:p>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1055</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31.08.13 ДЕТСКАЯ</w:t>
      </w:r>
    </w:p>
    <w:p>
      <w:pPr>
        <w:pStyle w:val="2"/>
        <w:jc w:val="center"/>
      </w:pPr>
      <w:r>
        <w:rPr>
          <w:sz w:val="24"/>
        </w:rPr>
        <w:t xml:space="preserve">КАРДИОЛОГИЯ (УРОВЕНЬ ПОДГОТОВКИ КАДРОВ ВЫСШЕЙ КВАЛИФИКАЦИИ)</w:t>
      </w:r>
    </w:p>
    <w:p>
      <w:pPr>
        <w:pStyle w:val="0"/>
        <w:jc w:val="center"/>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31.08.13 Детская кардиология (уровень подготовки кадров высшей квалификации).</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Приложение</w:t>
      </w:r>
    </w:p>
    <w:p>
      <w:pPr>
        <w:pStyle w:val="0"/>
        <w:jc w:val="right"/>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1055</w:t>
      </w:r>
    </w:p>
    <w:p>
      <w:pPr>
        <w:pStyle w:val="0"/>
        <w:jc w:val="center"/>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31.08.13 ДЕТСКАЯ КАРДИОЛОГИЯ</w:t>
      </w:r>
    </w:p>
    <w:p>
      <w:pPr>
        <w:pStyle w:val="0"/>
        <w:jc w:val="center"/>
      </w:pPr>
      <w:r>
        <w:rPr>
          <w:sz w:val="24"/>
        </w:rPr>
      </w:r>
    </w:p>
    <w:p>
      <w:pPr>
        <w:pStyle w:val="0"/>
        <w:outlineLvl w:val="1"/>
        <w:jc w:val="center"/>
      </w:pPr>
      <w:r>
        <w:rPr>
          <w:sz w:val="24"/>
        </w:rPr>
        <w:t xml:space="preserve">I. ОБЛАСТЬ ПРИМЕНЕНИЯ</w:t>
      </w:r>
    </w:p>
    <w:p>
      <w:pPr>
        <w:pStyle w:val="0"/>
        <w:jc w:val="center"/>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31.08.13 Детская кардиология (далее соответственно - программа ординатуры, специальность).</w:t>
      </w:r>
    </w:p>
    <w:p>
      <w:pPr>
        <w:pStyle w:val="0"/>
        <w:ind w:firstLine="540"/>
        <w:jc w:val="both"/>
      </w:pPr>
      <w:r>
        <w:rPr>
          <w:sz w:val="24"/>
        </w:rPr>
      </w:r>
    </w:p>
    <w:p>
      <w:pPr>
        <w:pStyle w:val="0"/>
        <w:outlineLvl w:val="1"/>
        <w:jc w:val="center"/>
      </w:pPr>
      <w:r>
        <w:rPr>
          <w:sz w:val="24"/>
        </w:rPr>
        <w:t xml:space="preserve">II. ИСПОЛЬЗУЕМЫЕ СОКРАЩЕНИЯ</w:t>
      </w:r>
    </w:p>
    <w:p>
      <w:pPr>
        <w:pStyle w:val="0"/>
        <w:ind w:firstLine="54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ind w:firstLine="540"/>
        <w:jc w:val="both"/>
      </w:pPr>
      <w:r>
        <w:rPr>
          <w:sz w:val="24"/>
        </w:rPr>
      </w:r>
    </w:p>
    <w:p>
      <w:pPr>
        <w:pStyle w:val="0"/>
        <w:outlineLvl w:val="1"/>
        <w:jc w:val="center"/>
      </w:pPr>
      <w:r>
        <w:rPr>
          <w:sz w:val="24"/>
        </w:rPr>
        <w:t xml:space="preserve">III. ХАРАКТЕРИСТИКА СПЕЦИАЛЬНОСТИ</w:t>
      </w:r>
    </w:p>
    <w:p>
      <w:pPr>
        <w:pStyle w:val="0"/>
        <w:ind w:firstLine="54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ind w:firstLine="54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ind w:firstLine="54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w:t>
      </w:r>
    </w:p>
    <w:p>
      <w:pPr>
        <w:pStyle w:val="0"/>
        <w:spacing w:before="240" w:line-rule="auto"/>
        <w:ind w:firstLine="540"/>
        <w:jc w:val="both"/>
      </w:pPr>
      <w:r>
        <w:rPr>
          <w:sz w:val="24"/>
        </w:rPr>
        <w:t xml:space="preserve">родители (законные представители) пациентов (далее - родители (законные представители));</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детей и подростков,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ind w:firstLine="54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ind w:firstLine="54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ind w:firstLine="54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у детей и подростков,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детьми и подростками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детей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нуждающихся в оказании кардиологической медицинской помощи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ind w:firstLine="540"/>
        <w:jc w:val="both"/>
      </w:pPr>
      <w:r>
        <w:rPr>
          <w:sz w:val="24"/>
        </w:rPr>
      </w:r>
    </w:p>
    <w:p>
      <w:pPr>
        <w:pStyle w:val="0"/>
        <w:outlineLvl w:val="1"/>
        <w:jc w:val="center"/>
      </w:pPr>
      <w:r>
        <w:rPr>
          <w:sz w:val="24"/>
        </w:rPr>
        <w:t xml:space="preserve">VI. ТРЕБОВАНИЯ К СТРУКТУРЕ ПРОГРАММЫ ОРДИНАТУРЫ</w:t>
      </w:r>
    </w:p>
    <w:p>
      <w:pPr>
        <w:pStyle w:val="0"/>
        <w:ind w:firstLine="54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hyperlink w:history="0" w:anchor="P156" w:tooltip="Блок 1">
        <w:r>
          <w:rPr>
            <w:sz w:val="24"/>
            <w:color w:val="0000ff"/>
          </w:rPr>
          <w:t xml:space="preserve">Блок 1</w:t>
        </w:r>
      </w:hyperlink>
      <w:r>
        <w:rPr>
          <w:sz w:val="24"/>
        </w:rPr>
        <w:t xml:space="preserve">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hyperlink w:history="0" w:anchor="P164" w:tooltip="Блок 2">
        <w:r>
          <w:rPr>
            <w:sz w:val="24"/>
            <w:color w:val="0000ff"/>
          </w:rPr>
          <w:t xml:space="preserve">Блок 2</w:t>
        </w:r>
      </w:hyperlink>
      <w:r>
        <w:rPr>
          <w:sz w:val="24"/>
        </w:rPr>
        <w:t xml:space="preserve"> "Практики", относящийся как к базовой части программы, так и к ее вариативной части.</w:t>
      </w:r>
    </w:p>
    <w:p>
      <w:pPr>
        <w:pStyle w:val="0"/>
        <w:spacing w:before="240" w:line-rule="auto"/>
        <w:ind w:firstLine="540"/>
        <w:jc w:val="both"/>
      </w:pPr>
      <w:hyperlink w:history="0" w:anchor="P171" w:tooltip="Блок 3">
        <w:r>
          <w:rPr>
            <w:sz w:val="24"/>
            <w:color w:val="0000ff"/>
          </w:rPr>
          <w:t xml:space="preserve">Блок 3</w:t>
        </w:r>
      </w:hyperlink>
      <w:r>
        <w:rPr>
          <w:sz w:val="24"/>
        </w:rPr>
        <w:t xml:space="preserve"> "Государственная итоговая аттестация", который в полном объеме относится к базовой части программы и завершается присвоением квалификации "Врач - детский кардиолог".</w:t>
      </w:r>
    </w:p>
    <w:p>
      <w:pPr>
        <w:pStyle w:val="0"/>
        <w:ind w:firstLine="540"/>
        <w:jc w:val="both"/>
      </w:pPr>
      <w:r>
        <w:rPr>
          <w:sz w:val="24"/>
        </w:rPr>
      </w:r>
    </w:p>
    <w:p>
      <w:pPr>
        <w:pStyle w:val="0"/>
        <w:outlineLvl w:val="2"/>
        <w:jc w:val="center"/>
      </w:pPr>
      <w:r>
        <w:rPr>
          <w:sz w:val="24"/>
        </w:rPr>
        <w:t xml:space="preserve">Структура программы ординатуры</w:t>
      </w:r>
    </w:p>
    <w:p>
      <w:pPr>
        <w:pStyle w:val="0"/>
        <w:ind w:firstLine="540"/>
        <w:jc w:val="both"/>
      </w:pPr>
      <w:r>
        <w:rPr>
          <w:sz w:val="24"/>
        </w:rPr>
      </w:r>
    </w:p>
    <w:p>
      <w:pPr>
        <w:pStyle w:val="0"/>
        <w:jc w:val="right"/>
      </w:pPr>
      <w:r>
        <w:rPr>
          <w:sz w:val="24"/>
        </w:rPr>
        <w:t xml:space="preserve">Таблица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5246"/>
        <w:gridCol w:w="2823"/>
      </w:tblGrid>
      <w:tr>
        <w:tc>
          <w:tcPr>
            <w:gridSpan w:val="2"/>
            <w:tcW w:w="6720" w:type="dxa"/>
          </w:tcPr>
          <w:p>
            <w:pPr>
              <w:pStyle w:val="0"/>
              <w:jc w:val="center"/>
            </w:pPr>
            <w:r>
              <w:rPr>
                <w:sz w:val="24"/>
              </w:rPr>
              <w:t xml:space="preserve">Структура программы ординатуры</w:t>
            </w:r>
          </w:p>
        </w:tc>
        <w:tc>
          <w:tcPr>
            <w:tcW w:w="2823" w:type="dxa"/>
          </w:tcPr>
          <w:p>
            <w:pPr>
              <w:pStyle w:val="0"/>
              <w:jc w:val="center"/>
            </w:pPr>
            <w:r>
              <w:rPr>
                <w:sz w:val="24"/>
              </w:rPr>
              <w:t xml:space="preserve">Объем программы ординатуры в з.е.</w:t>
            </w:r>
          </w:p>
        </w:tc>
      </w:tr>
      <w:tr>
        <w:tc>
          <w:tcPr>
            <w:tcW w:w="1474" w:type="dxa"/>
          </w:tcPr>
          <w:bookmarkStart w:id="156" w:name="P156"/>
          <w:bookmarkEnd w:id="156"/>
          <w:p>
            <w:pPr>
              <w:pStyle w:val="0"/>
            </w:pPr>
            <w:r>
              <w:rPr>
                <w:sz w:val="24"/>
              </w:rPr>
              <w:t xml:space="preserve">Блок 1</w:t>
            </w:r>
          </w:p>
        </w:tc>
        <w:tc>
          <w:tcPr>
            <w:tcW w:w="5246" w:type="dxa"/>
          </w:tcPr>
          <w:p>
            <w:pPr>
              <w:pStyle w:val="0"/>
            </w:pPr>
            <w:r>
              <w:rPr>
                <w:sz w:val="24"/>
              </w:rPr>
              <w:t xml:space="preserve">Дисциплины (модули)</w:t>
            </w:r>
          </w:p>
        </w:tc>
        <w:tc>
          <w:tcPr>
            <w:tcW w:w="2823" w:type="dxa"/>
          </w:tcPr>
          <w:p>
            <w:pPr>
              <w:pStyle w:val="0"/>
              <w:jc w:val="center"/>
            </w:pPr>
            <w:r>
              <w:rPr>
                <w:sz w:val="24"/>
              </w:rPr>
              <w:t xml:space="preserve">42 - 48</w:t>
            </w:r>
          </w:p>
        </w:tc>
      </w:tr>
      <w:tr>
        <w:tc>
          <w:tcPr>
            <w:tcW w:w="1474" w:type="dxa"/>
            <w:vMerge w:val="restart"/>
          </w:tcPr>
          <w:p>
            <w:pPr>
              <w:pStyle w:val="0"/>
            </w:pPr>
            <w:r>
              <w:rPr>
                <w:sz w:val="24"/>
              </w:rPr>
            </w:r>
          </w:p>
        </w:tc>
        <w:tc>
          <w:tcPr>
            <w:tcW w:w="5246" w:type="dxa"/>
          </w:tcPr>
          <w:bookmarkStart w:id="160" w:name="P160"/>
          <w:bookmarkEnd w:id="160"/>
          <w:p>
            <w:pPr>
              <w:pStyle w:val="0"/>
            </w:pPr>
            <w:r>
              <w:rPr>
                <w:sz w:val="24"/>
              </w:rPr>
              <w:t xml:space="preserve">Базовая часть</w:t>
            </w:r>
          </w:p>
        </w:tc>
        <w:tc>
          <w:tcPr>
            <w:tcW w:w="2823" w:type="dxa"/>
          </w:tcPr>
          <w:p>
            <w:pPr>
              <w:pStyle w:val="0"/>
              <w:jc w:val="center"/>
            </w:pPr>
            <w:r>
              <w:rPr>
                <w:sz w:val="24"/>
              </w:rPr>
              <w:t xml:space="preserve">33 - 39</w:t>
            </w:r>
          </w:p>
        </w:tc>
      </w:tr>
      <w:tr>
        <w:tc>
          <w:tcPr>
            <w:vMerge w:val="continue"/>
          </w:tcPr>
          <w:p/>
        </w:tc>
        <w:tc>
          <w:tcPr>
            <w:tcW w:w="5246" w:type="dxa"/>
          </w:tcPr>
          <w:bookmarkStart w:id="162" w:name="P162"/>
          <w:bookmarkEnd w:id="162"/>
          <w:p>
            <w:pPr>
              <w:pStyle w:val="0"/>
            </w:pPr>
            <w:r>
              <w:rPr>
                <w:sz w:val="24"/>
              </w:rPr>
              <w:t xml:space="preserve">Вариативная часть</w:t>
            </w:r>
          </w:p>
        </w:tc>
        <w:tc>
          <w:tcPr>
            <w:tcW w:w="2823" w:type="dxa"/>
          </w:tcPr>
          <w:p>
            <w:pPr>
              <w:pStyle w:val="0"/>
              <w:jc w:val="center"/>
            </w:pPr>
            <w:r>
              <w:rPr>
                <w:sz w:val="24"/>
              </w:rPr>
              <w:t xml:space="preserve">6 - 12</w:t>
            </w:r>
          </w:p>
        </w:tc>
      </w:tr>
      <w:tr>
        <w:tc>
          <w:tcPr>
            <w:tcW w:w="1474" w:type="dxa"/>
            <w:vMerge w:val="restart"/>
          </w:tcPr>
          <w:bookmarkStart w:id="164" w:name="P164"/>
          <w:bookmarkEnd w:id="164"/>
          <w:p>
            <w:pPr>
              <w:pStyle w:val="0"/>
            </w:pPr>
            <w:r>
              <w:rPr>
                <w:sz w:val="24"/>
              </w:rPr>
              <w:t xml:space="preserve">Блок 2</w:t>
            </w:r>
          </w:p>
        </w:tc>
        <w:tc>
          <w:tcPr>
            <w:tcW w:w="5246" w:type="dxa"/>
          </w:tcPr>
          <w:p>
            <w:pPr>
              <w:pStyle w:val="0"/>
            </w:pPr>
            <w:r>
              <w:rPr>
                <w:sz w:val="24"/>
              </w:rPr>
              <w:t xml:space="preserve">Практики</w:t>
            </w:r>
          </w:p>
        </w:tc>
        <w:tc>
          <w:tcPr>
            <w:tcW w:w="2823" w:type="dxa"/>
          </w:tcPr>
          <w:p>
            <w:pPr>
              <w:pStyle w:val="0"/>
              <w:jc w:val="center"/>
            </w:pPr>
            <w:r>
              <w:rPr>
                <w:sz w:val="24"/>
              </w:rPr>
              <w:t xml:space="preserve">69 - 75</w:t>
            </w:r>
          </w:p>
        </w:tc>
      </w:tr>
      <w:tr>
        <w:tc>
          <w:tcPr>
            <w:vMerge w:val="continue"/>
          </w:tcPr>
          <w:p/>
        </w:tc>
        <w:tc>
          <w:tcPr>
            <w:tcW w:w="5246" w:type="dxa"/>
          </w:tcPr>
          <w:p>
            <w:pPr>
              <w:pStyle w:val="0"/>
            </w:pPr>
            <w:r>
              <w:rPr>
                <w:sz w:val="24"/>
              </w:rPr>
              <w:t xml:space="preserve">Базовая часть</w:t>
            </w:r>
          </w:p>
        </w:tc>
        <w:tc>
          <w:tcPr>
            <w:tcW w:w="2823" w:type="dxa"/>
          </w:tcPr>
          <w:p>
            <w:pPr>
              <w:pStyle w:val="0"/>
              <w:jc w:val="center"/>
            </w:pPr>
            <w:r>
              <w:rPr>
                <w:sz w:val="24"/>
              </w:rPr>
              <w:t xml:space="preserve">60 - 66</w:t>
            </w:r>
          </w:p>
        </w:tc>
      </w:tr>
      <w:tr>
        <w:tc>
          <w:tcPr>
            <w:vMerge w:val="continue"/>
          </w:tcPr>
          <w:p/>
        </w:tc>
        <w:tc>
          <w:tcPr>
            <w:tcW w:w="5246" w:type="dxa"/>
          </w:tcPr>
          <w:p>
            <w:pPr>
              <w:pStyle w:val="0"/>
            </w:pPr>
            <w:r>
              <w:rPr>
                <w:sz w:val="24"/>
              </w:rPr>
              <w:t xml:space="preserve">Вариативная часть</w:t>
            </w:r>
          </w:p>
        </w:tc>
        <w:tc>
          <w:tcPr>
            <w:tcW w:w="2823" w:type="dxa"/>
          </w:tcPr>
          <w:p>
            <w:pPr>
              <w:pStyle w:val="0"/>
              <w:jc w:val="center"/>
            </w:pPr>
            <w:r>
              <w:rPr>
                <w:sz w:val="24"/>
              </w:rPr>
              <w:t xml:space="preserve">6 - 12</w:t>
            </w:r>
          </w:p>
        </w:tc>
      </w:tr>
      <w:tr>
        <w:tc>
          <w:tcPr>
            <w:tcW w:w="1474" w:type="dxa"/>
            <w:vMerge w:val="restart"/>
          </w:tcPr>
          <w:bookmarkStart w:id="171" w:name="P171"/>
          <w:bookmarkEnd w:id="171"/>
          <w:p>
            <w:pPr>
              <w:pStyle w:val="0"/>
            </w:pPr>
            <w:r>
              <w:rPr>
                <w:sz w:val="24"/>
              </w:rPr>
              <w:t xml:space="preserve">Блок 3</w:t>
            </w:r>
          </w:p>
        </w:tc>
        <w:tc>
          <w:tcPr>
            <w:tcW w:w="5246" w:type="dxa"/>
          </w:tcPr>
          <w:p>
            <w:pPr>
              <w:pStyle w:val="0"/>
            </w:pPr>
            <w:r>
              <w:rPr>
                <w:sz w:val="24"/>
              </w:rPr>
              <w:t xml:space="preserve">Государственная итоговая аттестация</w:t>
            </w:r>
          </w:p>
        </w:tc>
        <w:tc>
          <w:tcPr>
            <w:tcW w:w="2823" w:type="dxa"/>
          </w:tcPr>
          <w:p>
            <w:pPr>
              <w:pStyle w:val="0"/>
              <w:jc w:val="center"/>
            </w:pPr>
            <w:r>
              <w:rPr>
                <w:sz w:val="24"/>
              </w:rPr>
              <w:t xml:space="preserve">3</w:t>
            </w:r>
          </w:p>
        </w:tc>
      </w:tr>
      <w:tr>
        <w:tc>
          <w:tcPr>
            <w:vMerge w:val="continue"/>
          </w:tcPr>
          <w:p/>
        </w:tc>
        <w:tc>
          <w:tcPr>
            <w:tcW w:w="5246" w:type="dxa"/>
          </w:tcPr>
          <w:p>
            <w:pPr>
              <w:pStyle w:val="0"/>
            </w:pPr>
            <w:r>
              <w:rPr>
                <w:sz w:val="24"/>
              </w:rPr>
              <w:t xml:space="preserve">Базовая часть</w:t>
            </w:r>
          </w:p>
        </w:tc>
        <w:tc>
          <w:tcPr>
            <w:tcW w:w="2823" w:type="dxa"/>
          </w:tcPr>
          <w:p>
            <w:pPr>
              <w:pStyle w:val="0"/>
              <w:jc w:val="center"/>
            </w:pPr>
            <w:r>
              <w:rPr>
                <w:sz w:val="24"/>
              </w:rPr>
              <w:t xml:space="preserve">3</w:t>
            </w:r>
          </w:p>
        </w:tc>
      </w:tr>
      <w:tr>
        <w:tc>
          <w:tcPr>
            <w:gridSpan w:val="2"/>
            <w:tcW w:w="6720" w:type="dxa"/>
          </w:tcPr>
          <w:p>
            <w:pPr>
              <w:pStyle w:val="0"/>
            </w:pPr>
            <w:r>
              <w:rPr>
                <w:sz w:val="24"/>
              </w:rPr>
              <w:t xml:space="preserve">Объем программы ординатуры</w:t>
            </w:r>
          </w:p>
        </w:tc>
        <w:tc>
          <w:tcPr>
            <w:tcW w:w="2823" w:type="dxa"/>
          </w:tcPr>
          <w:p>
            <w:pPr>
              <w:pStyle w:val="0"/>
              <w:jc w:val="center"/>
            </w:pPr>
            <w:r>
              <w:rPr>
                <w:sz w:val="24"/>
              </w:rPr>
              <w:t xml:space="preserve">120</w:t>
            </w:r>
          </w:p>
        </w:tc>
      </w:tr>
    </w:tbl>
    <w:p>
      <w:pPr>
        <w:pStyle w:val="0"/>
        <w:ind w:firstLine="54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w:t>
      </w:r>
      <w:hyperlink w:history="0" w:anchor="P160" w:tooltip="Базовая часть">
        <w:r>
          <w:rPr>
            <w:sz w:val="24"/>
            <w:color w:val="0000ff"/>
          </w:rPr>
          <w:t xml:space="preserve">базовой части</w:t>
        </w:r>
      </w:hyperlink>
      <w:r>
        <w:rPr>
          <w:sz w:val="24"/>
        </w:rPr>
        <w:t xml:space="preserve">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ind w:firstLine="54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w:t>
      </w:r>
      <w:hyperlink w:history="0" w:anchor="P164" w:tooltip="Блок 2">
        <w:r>
          <w:rPr>
            <w:sz w:val="24"/>
            <w:color w:val="0000ff"/>
          </w:rPr>
          <w:t xml:space="preserve">Блок 2</w:t>
        </w:r>
      </w:hyperlink>
      <w:r>
        <w:rPr>
          <w:sz w:val="24"/>
        </w:rPr>
        <w:t xml:space="preserve">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w:t>
      </w:r>
      <w:hyperlink w:history="0" w:anchor="P171" w:tooltip="Блок 3">
        <w:r>
          <w:rPr>
            <w:sz w:val="24"/>
            <w:color w:val="0000ff"/>
          </w:rPr>
          <w:t xml:space="preserve">Блок 3</w:t>
        </w:r>
      </w:hyperlink>
      <w:r>
        <w:rPr>
          <w:sz w:val="24"/>
        </w:rPr>
        <w:t xml:space="preserve">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w:t>
      </w:r>
      <w:hyperlink w:history="0" w:anchor="P162" w:tooltip="Вариативная часть">
        <w:r>
          <w:rPr>
            <w:sz w:val="24"/>
            <w:color w:val="0000ff"/>
          </w:rPr>
          <w:t xml:space="preserve">вариативной части</w:t>
        </w:r>
      </w:hyperlink>
      <w:r>
        <w:rPr>
          <w:sz w:val="24"/>
        </w:rPr>
        <w:t xml:space="preserve">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w:t>
      </w:r>
      <w:hyperlink w:history="0" w:anchor="P156" w:tooltip="Блок 1">
        <w:r>
          <w:rPr>
            <w:sz w:val="24"/>
            <w:color w:val="0000ff"/>
          </w:rPr>
          <w:t xml:space="preserve">Блоку 1</w:t>
        </w:r>
      </w:hyperlink>
      <w:r>
        <w:rPr>
          <w:sz w:val="24"/>
        </w:rPr>
        <w:t xml:space="preserve">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ind w:firstLine="54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ind w:firstLine="54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ind w:firstLine="54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ind w:firstLine="54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ind w:firstLine="540"/>
        <w:jc w:val="both"/>
      </w:pPr>
      <w:r>
        <w:rPr>
          <w:sz w:val="24"/>
        </w:rPr>
      </w:r>
    </w:p>
    <w:p>
      <w:pPr>
        <w:pStyle w:val="0"/>
        <w:outlineLvl w:val="2"/>
        <w:ind w:firstLine="540"/>
        <w:jc w:val="both"/>
      </w:pPr>
      <w:r>
        <w:rPr>
          <w:sz w:val="24"/>
        </w:rPr>
        <w:t xml:space="preserve">7.2. Требования к кадровым условиям реализации программы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соответствующие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ind w:firstLine="54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аудитории,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анатомический зал и (или) помещения, предусмотренные для работы с биологическими моделями;</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набор и укладка для экстренных профилактических и лечебных мероприятий, электрокардиограф, облучатель бактерицидный, электронные весы для детей до года, пособия для оценки психофизического развития ребенка, аппарат для измерения артериального давления с детскими манжетками, пеленальный стол, сантиметровые ленты, аппарат для суточного мониторирования артериального давления, ЭКГ, электрокардиограф, эхокардиограф, кардиологическая линейка для анализа электрокардиограммы)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ind w:firstLine="54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1055</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1055
"Об утверждении федерального государственного образовательного стандарта высшего образования по специальности 31.08.13 Детская кардиология (уровень подготовки кадров высшей квалификации)"
(Зарегистрировано в Минюсте России 23.10.2014 N 34405)</dc:title>
  <dcterms:created xsi:type="dcterms:W3CDTF">2025-04-28T03:39:51Z</dcterms:created>
</cp:coreProperties>
</file>